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7 vom 3. Oktober 2017</w:t>
      </w:r>
    </w:p>
    <w:p>
      <w:r>
        <w:t>GR Gerichte, 2017-10-03, DE</w:t>
      </w:r>
    </w:p>
    <w:p>
      <w:r>
        <w:rPr>
          <w:b/>
        </w:rPr>
        <w:t xml:space="preserve">Quelle: </w:t>
      </w:r>
      <w:r>
        <w:t>https://mcp.opencaselaw.ch/entscheid/gr_gerichte_SK1 2017 7</w:t>
      </w:r>
    </w:p>
    <w:p>
      <w:r>
        <w:t>FR: GR_GERICHTE SK1 2017 7 du 3 octobre 2017</w:t>
      </w:r>
    </w:p>
    <w:p>
      <w:r>
        <w:t>IT: GR_GERICHTE SK1 2017 7 del 3 ottobre 2017</w:t>
      </w:r>
    </w:p>
    <w:p>
      <w:pPr>
        <w:pStyle w:val="Heading2"/>
      </w:pPr>
      <w:r>
        <w:t>Regeste</w:t>
      </w:r>
    </w:p>
    <w:p>
      <w:r>
        <w:t>Körperverletzung etc. | StGB 111-136 Leib und Leben</w:t>
      </w:r>
    </w:p>
    <w:p>
      <w:pPr>
        <w:pStyle w:val="Heading2"/>
      </w:pPr>
      <w:r>
        <w:t>Erwägungen</w:t>
      </w:r>
    </w:p>
    <w:p>
      <w:r>
        <w:rPr>
          <w:b/>
        </w:rPr>
        <w:t>E. 14</w:t>
      </w:r>
    </w:p>
    <w:p>
      <w:r>
        <w:t>Insgesamt wäre der Berufungskläger vorliegend somit mit einer Gesamt- freiheitsstrafe von 17 Monaten kumuliert mit einer Gesamtgeldstrafe von 40 Ta- gessätzen à CHF 30.00 zu verurteilen. Die Berufungsinstanz ist aber, weil das Rechtsmittel ausschliesslich zugunsten des Berufungsklägers erhoben wurde, an das vorinstanzliche Strafmass gebunden (vgl. Art. 391 Abs. 2 StPO; Verbot der "reformatio in peius"). Es bleibt folglich bei der von der Vorinstanz ausgesproche- nen Strafe (Gesamtfreiheitsstrafe von 15 Monaten). 15.1. Bei diesem Strafmass ist zu prüfen, ob dem Täter der bedingte Strafvollzug gewährt werden kann (vgl. BGE 143 IV 1 E. 4.2.2). Gemäss Art. 42 Abs. 1 StGB schiebt das Gericht den Vollzug einer Freiheitsstrafe in der Regel auf, wenn eine unbedingte Strafe nicht notwendig erscheint, um den Täter von der Begehung wei- terer Verbrechen oder Vergehen abzuhalten (Art. 42 Abs. 1 StGB). Die Ge- währung des bedingten Strafaufschubs setzt mit anderen Worten nicht die positive Erwartung voraus, der Täter werde sich bewähren, sondern es genügt die Abwe- senheit der Befürchtung, dass er es nicht tun werde. Der Strafaufschub ist deshalb die Regel, von der grundsätzlich nur bei ungünstiger Prognose abgewichen wer-</w:t>
      </w:r>
    </w:p>
    <w:p>
      <w:r>
        <w:t>Seite 35 — 40 den darf. Er hat im breiten Mittelfeld der Ungewissheit den Vorrang (BGE 134 IV 1 E 4.2.2). 15.2 Der Berufungskläger weist darauf hin, dass ihm trotz der behaupteten un- günstigen Prognose der bedingte Strafvollzug zu gewähren sei. Seit dem 1. Okto- ber 2016 wohne er nun in einer neuen Wohnung. In dem "Loch", in dem er bislang gewohnt habe, hätte er kaum Tageslicht gesehen. Durch den Wegzug habe er an Lebensqualität dazugewonnen und gehe kaum mehr in den Ausgang (vgl. Ein- vernahmeprotokoll [act. F.4], S. 2, Frage 1; Plädoyer [act. D.16], S. 3, Ziff. 4). Ebenfalls sei er in psychologischer Behandlung. 15.3 Der Berufungskläger ist mehrfach einschlägig vorbestraft (vgl. staatsan- waltschaftliches act. 2/1). Es liegen zwar mehrere Jahre zwischen diesen Vorstra- fen und der erneuten Straffälligkeit, der Berufungskläger zeigte indessen sein alt- bekanntes Verhaltensmuster und delinquierte in hoher Intensität mehrmals trotz laufendem Strafverfahren. Er zeigte sich sodann während laufendem Strafverfah- ren nur bedingt einsichtig und ihm fehlt im Hauptanklagepunkt jegliche Einsicht in das von ihm begangene Unrecht. Auch betreffend einzelner weiterer Anklage- punkte war der Berufungskläger anfänglich nicht geständig und musste mit den gegen ihn vorhandenen Beweisen konfrontiert werden, um das Tatverhalten zuzu- geben. Das Gutachten der Psychiatrischen Dienste Graubünden vom 27. Mai 2016 attestiert dem Berufungskläger ein sehr hohes Rückfallrisiko für ähnlich ge- lagerte Delikte. Sehr ungünstig gewichtet das Gutachten sodann, dass das delikti- sche Verhalten wie eingeschliffen erscheint und die vielen unterschiedlichen Delik- te eng an den Lebensstil angeknüpft wirken. Das Gutachten erkennt zudem die vorhandene dissoziale Persönlichkeitsstörungen und den Alkoholkonsum als be- lastend. Insbesondere negativ wirke sich auch die nur ansatzweise vorhandene Einsicht in die Alkoholkrankheit aus. Diese Uneinsichtigkeit trat auch anlässlich der Einvernahme vor der Berufungsinstanz in Erscheinung. So gab der Beru- fungskläger anlässlich seiner Einvernahme vor der Berufungsinstanz an, seit ei- nem Monat keinen Tropfen Alkohol mehr getrunken zu haben, um nebenbei zu erwähnen, dass er am Vorabend der Gerichtsverhandlung etwas getrunken habe und ab und zu seine "Bierchen" zu trinken (Einvernahmeprotokoll [act. F.4], S. 2, Fragen 1, 2 und 3). Überdies besteht gemäss Gutachten kein sozialer Empfangs- raum für den Berufungskläger, was sich auf die Prognose ungünstig auswirkt (vgl. staatsanwaltschaftliches act. 2/15, S. 73). Es fehlen somit irgendwelche Indizien, die Zweifel an den Schlussfolgerungen des Gutachtens begründen würden. Damit liegt kein Grund vor, von den plausiblen und nachvollziehbaren Schlussfolgerun- gen abzuweichen.</w:t>
      </w:r>
    </w:p>
    <w:p>
      <w:r>
        <w:t>Seite 36 — 40 Nachdem das Gutachten in der vormaligen Wohnsituation des Berufungsklägers keinen Grund für sein strafbares Verhalten feststellte, darf – entgegen dem beru- fungsklägerischen Vorbringen – ausgeschlossen werden, dass der Wohnungs- wechsel als solcher zu einer verbesserten Prognose führen würde. Vor dem Hintergrund des Gesagten ist dem Beschuldigten eine ungünstige Rück- fallprognose zu stellen, so dass die ausgesprochene Freiheitsstrafe von 15 Mona- ten zu vollziehen ist. Die erstandene Polizeihaft ist in Anwendung von Art. 51 StGB anzurechnen.</w:t>
      </w:r>
    </w:p>
    <w:p>
      <w:r>
        <w:rPr>
          <w:b/>
        </w:rPr>
        <w:t>E. 16</w:t>
      </w:r>
    </w:p>
    <w:p>
      <w:r>
        <w:t>Zusammenfassend ist festzuhalten, dass sich der Berufungskläger – unter Berücksichtigung der unangefochten gebliebenen vorinstanzlichen Schuld- sprüchen – der versuchten schweren Körperverletzung gemäss Art. 122 Abs. 2 i.V.m. Art. 22 Abs. 1 StGB, der mehrfachen Widerhandlung gegen das Waffenge- setz gemäss Art. 33 Abs. 1 lit. a WG, des mehrfachen falschen Alarms gemäss Art. 128bis StGB, sowie der mehrfachen Sachbeschädigung gemäss Art. 144 Abs. 1 StGB schuldig gemacht hat. Hierfür wäre er mit einer Freiheitsstrafe von 17 Mo- naten sowie einer Geldstrafe mit 40 Tagessätzen à CHF 30.00 zu bestrafen. Infol- ge des Verschlechterungsverbotes bleibt es aber bei der von der Vorinstanz aus- gesprochenen Strafe (Gesamtfreiheitsstrafe von 15 Monaten). Aufgrund der un- günstigen Prognose ist die Strafe zu vollziehen, wobei die Polizeihaft von einem Tag anzurechnen ist. Der Berufungskläger ist mit seinen Anträgen nicht durchge- drungen. Damit erweist sich seine Berufung als unbegründet und ist abzuweisen.</w:t>
      </w:r>
    </w:p>
    <w:p>
      <w:r>
        <w:rPr>
          <w:b/>
        </w:rPr>
        <w:t>E. 17</w:t>
      </w:r>
    </w:p>
    <w:p>
      <w:r>
        <w:t>Gemäss Art. 426 Abs. 1 StPO trägt die beschuldigte Person die Verfah- renskosten, wenn sie verurteilt wird. Da vorliegend der Schuld- und Strafspruch der Vorinstanz nicht zu beanstanden ist, wurden dem Berufungsklägern im ange- fochtenen Urteil die Verfahrenskosten zu Recht auferlegt. 18.1 Die Kosten des Rechtsmittelverfahrens tragen gemäss Art. 428 Abs. 1 StPO die Parteien nach Massgabe ihres Obsiegens oder Unterliegens. Da der Berufungskläger mit seinen Begehren vollständig unterlegen ist, gehen auch die Kosten des Berufungsverfahrens, welche auf CHF 4'000.00 festgelegt werden (vgl. Art. 7 der Verordnung über die Gerichtsgebühren in Strafverfahren [VGS; BR 350.210]), zu seinen Lasten. 18.2 Gleiches gilt mit Bezug auf die Kosten der amtlichen Verteidigung, welche als Auslagen ebenfalls Teil der Verfahrenskosten bilden (Art. 422 Abs. 1 und 422 Abs. 2 lit. a StPO). Demzufolge hat der Berufungskläger auch die Kosten seiner amtlichen Verteidigung zu tragen, wobei sie vorerst zu Lasten des Kantons</w:t>
      </w:r>
    </w:p>
    <w:p>
      <w:r>
        <w:t>Seite 37 — 40 Graubünden gehen und aus der Gerichtskasse zu bezahlen sind. Sobald es die wirtschaftlichen Verhältnisse des Berufungsklägers gestatten, ist er verpflichtet, diese Kosten dem Kanton zurückzuzahlen (vgl. Art. 135 Abs. 4 StPO). Der amtliche Verteidiger des Berufungsklägers reichte keine schriftliche Honorar- note ein. Anlässlich der Hauptverhandlung machte er indessen einen Stunden- aufwand von 10 Stunden zum gesetzlichen Tarif geltend. Dieser Stundenaufwand erscheint angesichts der sich stellenden Rechts- und Sachverhaltsfragen ange- messen. In Anwendung von Art. 5 Abs. 1 HV wird die Entschädigung für die amtli- che Verteidigung auf CHF 2'224.80 (bestehend aus 10 Stunden à CHF 200.00, zzgl. 3% Spesenersatz und 8% Mehrwertsteuer) festgesetzt. Da der Berufungskläger zur Tragung der Verfahrenskosten verurteilt wurde (vgl. E. 18.1), ist er, sobald es ihm seine wirtschaftlichen Verhältnisse erlauben, ver- pflichtet, seinem Verteidiger die Differenz zwischen der amtlichen Entschädigung und dem vollen Honorar zu erstatten (vgl. Art. 135 Abs. 4 StPO). Mangels einer ins Recht gelegten Honorarvereinbarung wird der zu entschädigende (durch- schnittliche) Stundenansatz von Rechtsanwalt Andri Hotz auf CHF 240.00 festge- setzt. Mithin resultiert eine zum vollen Honorar von total CHF 2'565.80 (bestehend aus 10h à CHF 240.00, zzgl. 3% Spesen und 8 % Mehrwertsteuer) zu entschädi- gende Differenz von CHF 432.00.</w:t>
      </w:r>
    </w:p>
    <w:p>
      <w:r>
        <w:t>Seite 38 — 40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